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GD2062-1    -    Prix: 296 800 € FAI dont 6%HA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 </w:t>
            </w:r>
            <w:r>
              <w:rPr>
                <w:b w:val="on"/>
                <w:color w:val="0000FF"/>
              </w:rPr>
              <w:t xml:space="preserve">280 000€ honoraires exclus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Ancien corps de ferme sur 5ha3 avec noyers et prairie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380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110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5470" cy="4114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547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Au calme dans un hameau, bien implanté sur un beau terrain de 5ha3 avec prairies et noyers, cet ancien Corps de ferme à réhabiliter comprend une belle </w:t>
      </w:r>
      <w:r>
        <w:rPr>
          <w:b w:val="on"/>
          <w:color w:val="FF0000"/>
          <w:sz w:val="32"/>
        </w:rPr>
        <w:t xml:space="preserve">Demeure typique avec pigeonnier</w:t>
      </w:r>
      <w:r>
        <w:rPr>
          <w:b w:val="on"/>
          <w:color w:val="0000FF"/>
          <w:sz w:val="28"/>
        </w:rPr>
        <w:t xml:space="preserve"> disposant de belles surfaces habitables, une maison en pierre à rénover avec grange attenante, un grand séchoir et petites dépendances en pierre.Les informations sur les risques auxquels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