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GD2047    -    Prix: 572 000 € FAI dont 4%HA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550 000€ honoraires exclus</w:t>
            </w:r>
            <w:r>
              <w:rPr>
                <w:b w:val="on"/>
                <w:color w:val="0000FF"/>
                <w:sz w:val="36"/>
              </w:rPr>
              <w:br w:type="textWrapping"/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Propriété de charme avec vue panoramique et piscine sur 8ha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408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49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57215" cy="390906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215" cy="390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Au bout d'une petite route de campagne, en situation indépendante avec vue panoramique et piscine sur 8 ha, vous serez séduits par le charme et la douceur de vivre de cette belle </w:t>
      </w:r>
      <w:r>
        <w:rPr>
          <w:b w:val="on"/>
          <w:color w:val="FF0000"/>
          <w:sz w:val="36"/>
        </w:rPr>
        <w:t xml:space="preserve">Propriété - un lieu de vie privilégié</w:t>
      </w:r>
      <w:r>
        <w:rPr>
          <w:b w:val="on"/>
          <w:color w:val="0000FF"/>
          <w:sz w:val="28"/>
        </w:rPr>
        <w:t xml:space="preserve"> offrant 2 habitats répartis en spacieux espaces de vie lumineux et fonctionnels. 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