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GERARD MARADENES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MANDOU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Une maison à usage d'habitation et dépendance sises 58 rue des Guiralettes  Le Cru 46150</w:t>
      </w:r>
      <w:r>
        <w:rPr>
          <w:rFonts w:ascii="Times New Roman" w:hAnsi="Times New Roman" w:eastAsia="Times New Roman"/>
          <w:sz w:val="22"/>
        </w:rPr>
        <w:t xml:space="preserve"> </w:t>
      </w:r>
      <w:r>
        <w:rPr>
          <w:rFonts w:ascii="Times New Roman" w:hAnsi="Times New Roman" w:eastAsia="Times New Roman"/>
          <w:b w:val="on"/>
          <w:sz w:val="28"/>
        </w:rPr>
        <w:t xml:space="preserve">THEDIRAC cadastrée section D N° 471 472 473 474 475 476 477 478 pour une contenance de 2ha06a50ca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MARINE LOUBIERES A GOURDON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12 600 €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19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GERARD MARADENES</w:t>
      </w:r>
    </w:p>
    <w:p>
      <w:pPr>
        <w:pStyle w:val="[Normal]"/>
        <w:rPr>
          <w:b w:val="on"/>
          <w:sz w:val="18"/>
        </w:rPr>
      </w:pPr>
      <w:r>
        <w:rPr>
          <w:b w:val="on"/>
          <w:sz w:val="18"/>
        </w:rPr>
        <w:t xml:space="preserve">MANDOU 46300 GOURDON</w:t>
      </w: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12 600 €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19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