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:18 septembre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BACHOUX/DUPEYROUX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Sylviane, Christophe et Xavier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361CHEMIN DE LAUMEL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46300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GOURDON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SYLVIANE.DUPEYROUX@SFR.FR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GD2052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200m²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1 218m²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51m²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361 chemin de Laumel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Pompe  chaleur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Urbain / Centre Ville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Très 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14/09/2024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rdv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AB 425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811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La Maison. RDC. Entrée, spacieux séjour avec insert, cuisine avec accès terrasse direct, arrière-cuisine et buanderie, dégagement, chambre avec partie dressing, salle d'eau avec douche italienne, wc avec lave-mains. Etage. Grande Pièce à vivre  avec balcon, chambre, salle d'eau wc.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RDJ. Chambre, salle d'eau wc, pièce/chambre, cuisine d'été  + local technique piscine, caves , serre. Carport.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Chauffage par clim réversible et insert bois. Double vitrage. Tout-à-l'égout. Double vitrage alu et volets électriques. Adoucisseur d'eau.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  <w:t xml:space="preserve">Piscine récente de 3,7 x 4,7 au chlore.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