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4"/>
        </w:rPr>
      </w:pPr>
      <w:r>
        <w:rPr>
          <w:sz w:val="32"/>
        </w:rPr>
        <w:t xml:space="preserve"> taxe foncière 745 €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388 000 €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GD1964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Spacieuse Longère en pierre sur 6315 m² avec piscine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11"/>
                <w:tab w:val="clear" w:pos="15876"/>
              </w:tabs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chaufferie de 5,77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16,63 m² avec coin repas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46 m² avec auvent couvert de 40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65 m² avec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Wc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2 de 11 m², 13,64 m², 21,5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11,67 m² et 7,57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6,7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11,65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attenants à la maison - bûcher et bureau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179,00 KWHep/m²an CLASSE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23,00 Kgco2/m²an CLASSE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Méthode de calcul: 3CL-DPE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Immeuble: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RDC_B OK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2ème étage_A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8 x 4 au chlore avec abri telescopique haut et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widowControl w:val="on"/>
              <w:tabs>
                <w:tab w:val="left" w:pos="73"/>
                <w:tab w:val="clear" w:pos="15876"/>
              </w:tabs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Dans un joli hameau, en situation valorisante et calme sur 6300 m² arborés avec piscine couverte, cette spacieuse et lumineuse Longère en pierre développe 190 m² dont vaste séjour de 65 m² et 4 chambres. Grand garage attenant.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sur vaste séjour de 65 m² avec cheminée, cuisine de 16,63 m² avec coin repas, salle d'eau avec wc de 5 m², buanderie chaufferie de 5,77 m², double garage attenant de 46 m² avec auvent couvert de 40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Etage. Mezzanine bureau de 11,65 m², dégagements de 11,67 m² et 7,57 m², 4 chambres dont 2 de 11 m², 13,64 m² et 21,5 m², dressing de 6,7 m², salle de bains avec wc de 5,13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central au gaz et bois (poêle). double vitrage.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8 x 4 au chlore avec abri telescopique haut.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2 Abris attenants au garage (bûcher et bureau).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20"/>
                <w:tab w:val="clear" w:pos="15876"/>
              </w:tabs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widowControl w:val="on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6 315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2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Ouest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1850</w:t>
            </w:r>
          </w:p>
        </w:tc>
      </w:tr>
    </w:tbl>
    <w:p>
      <w:pPr>
        <w:pStyle w:val="[Normal]"/>
        <w:widowControl w:val="on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0771"/>
        <w:tab w:val="clear" w:pos="11340"/>
      </w:tabs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