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36"/>
        </w:rPr>
        <w:t xml:space="preserve"> Taxe fonciere 920€ Taxe d'habitation 584€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149 800 €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GOURDON - Maison de vacances idéale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1,39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5,5 m², 7,6 m² et 10,2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ouverte dans séjour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en partie couverte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1,1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par le sol + convecteurs</w:t>
            </w:r>
          </w:p>
          <w:p>
            <w:pPr>
              <w:pStyle w:val="Type de détail"/>
            </w:pPr>
            <w:r>
              <w:t xml:space="preserve">Equipements de Cuisine: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Cuisinière vitrocéramique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Hotte aspirante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Aux abords de la ville de Gourdon - Proche commerces, sur 744 m² de jardin avec terrasse couverte, cette agréable Maison contemporaine bien entretenue sise dans un joli village de vacances  propose 58 m² habitables agencés de plain-pied - Pour investissement locatif et maison de vacances idéale !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Séjour cuisine de 26 m², petit cellier de 1,39 m², 3 chambres de 5,5 m², 7,6 m² et 10,2 m², salle d'eau de 4,5 m², wc de 1,1 m². Terrasse couverte d'environ 35 m² en grande partie couverte.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au sol et convecteurs.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Possibilité d'accèder en complément au complexe de loisirs.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58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744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Electrique basse temp. par le sol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2014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