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12"/>
        <w:gridCol w:w="9787"/>
      </w:tblGrid>
      <w:tr>
        <w:tc>
          <w:tcPr>
            <w:tcW w:w="5812" w:type="dxa"/>
            <w:shd w:val="clear" w:fill="auto"/>
            <w:vAlign w:val="top"/>
          </w:tcPr>
          <w:p>
            <w:pPr>
              <w:pStyle w:val="[Normal]"/>
              <w:widowControl w:val="on"/>
              <w:jc w:val="center"/>
            </w:pPr>
            <w:r>
              <w:drawing>
                <wp:inline distT="0" distB="0" distL="0" distR="0">
                  <wp:extent cx="2743200" cy="9144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743200" cy="914400"/>
                          </a:xfrm>
                          <a:prstGeom prst="rect">
                            <a:avLst/>
                          </a:prstGeom>
                        </pic:spPr>
                      </pic:pic>
                    </a:graphicData>
                  </a:graphic>
                </wp:inline>
              </w:drawing>
            </w:r>
          </w:p>
        </w:tc>
        <w:tc>
          <w:tcPr>
            <w:tcW w:w="9787" w:type="dxa"/>
            <w:shd w:val="clear" w:fill="auto"/>
            <w:vAlign w:val="top"/>
          </w:tcPr>
          <w:p>
            <w:pPr>
              <w:pStyle w:val="[Normal]"/>
              <w:widowControl w:val="on"/>
              <w:jc w:val="center"/>
              <w:rPr>
                <w:b w:val="on"/>
                <w:color w:val="0000FF"/>
                <w:sz w:val="26"/>
              </w:rPr>
            </w:pPr>
          </w:p>
          <w:p>
            <w:pPr>
              <w:pStyle w:val="[Normal]"/>
              <w:widowControl w:val="on"/>
              <w:jc w:val="center"/>
            </w:pPr>
            <w:r>
              <w:rPr>
                <w:b w:val="on"/>
                <w:color w:val="0000FF"/>
                <w:sz w:val="36"/>
              </w:rPr>
              <w:t xml:space="preserve">Réf.: GD2041    -    Prix: 365 000 € FAI dont 4.29% HA</w:t>
              <w:br w:type="textWrapping"/>
            </w:r>
            <w:r>
              <w:rPr>
                <w:b w:val="on"/>
                <w:color w:val="0000FF"/>
                <w:sz w:val="36"/>
              </w:rPr>
              <w:t xml:space="preserve">                                                     </w:t>
            </w:r>
            <w:r>
              <w:rPr>
                <w:b w:val="on"/>
                <w:color w:val="0000FF"/>
                <w:sz w:val="28"/>
              </w:rPr>
              <w:t xml:space="preserve">350 000€ honoraires exclus</w:t>
            </w:r>
          </w:p>
        </w:tc>
      </w:tr>
    </w:tbl>
    <w:p>
      <w:pPr>
        <w:pStyle w:val="[Normal]"/>
        <w:widowControl w:val="on"/>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553"/>
      </w:tblGrid>
      <w:tr>
        <w:tc>
          <w:tcPr>
            <w:tcW w:w="15553"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08"/>
              <w:gridCol w:w="9673"/>
            </w:tblGrid>
            <w:tr>
              <w:tc>
                <w:tcPr>
                  <w:tcW w:w="5808" w:type="dxa"/>
                  <w:shd w:val="clear" w:fill="FFFFD2"/>
                  <w:vAlign w:val="top"/>
                </w:tcPr>
                <w:p>
                  <w:pPr>
                    <w:pStyle w:val="[Normal]"/>
                    <w:widowControl w:val="on"/>
                    <w:jc w:val="center"/>
                  </w:pPr>
                  <w:r>
                    <w:rPr>
                      <w:b w:val="on"/>
                      <w:color w:val="FF0000"/>
                      <w:sz w:val="36"/>
                    </w:rPr>
                    <w:t xml:space="preserve">Secteur Gourdon. Ancienne chapelle restaurée avec extension, jardin clos et vue</w:t>
                  </w:r>
                </w:p>
                <w:p>
                  <w:pPr>
                    <w:pStyle w:val="[Normal]"/>
                    <w:widowControl w:val="on"/>
                    <w:jc w:val="cente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6"/>
                    <w:gridCol w:w="3060"/>
                  </w:tblGrid>
                  <w:tr>
                    <w:tc>
                      <w:tcPr>
                        <w:tcW w:w="2676" w:type="dxa"/>
                        <w:shd w:val="clear" w:fill="auto"/>
                        <w:vAlign w:val="top"/>
                      </w:tcPr>
                      <w:p>
                        <w:pPr>
                          <w:pStyle w:val="[Normal]"/>
                          <w:widowControl w:val="on"/>
                        </w:pPr>
                      </w:p>
                      <w:p>
                        <w:pPr>
                          <w:pStyle w:val="[Normal]"/>
                          <w:widowControl w:val="on"/>
                          <w:jc w:val="center"/>
                          <w:rPr>
                            <w:sz w:val="18"/>
                            <w:u w:val="single"/>
                          </w:rPr>
                        </w:pPr>
                        <w:r>
                          <w:drawing>
                            <wp:inline distT="0" distB="0" distL="0" distR="0">
                              <wp:extent cx="1569720" cy="137922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69720" cy="1379220"/>
                                      </a:xfrm>
                                      <a:prstGeom prst="rect">
                                        <a:avLst/>
                                      </a:prstGeom>
                                    </pic:spPr>
                                  </pic:pic>
                                </a:graphicData>
                              </a:graphic>
                            </wp:inline>
                          </w:drawing>
                        </w:r>
                      </w:p>
                      <w:p>
                        <w:pPr>
                          <w:pStyle w:val="[Normal]"/>
                          <w:widowControl w:val="on"/>
                          <w:rPr>
                            <w:sz w:val="18"/>
                            <w:u w:val="single"/>
                          </w:rPr>
                        </w:pPr>
                      </w:p>
                      <w:p>
                        <w:pPr>
                          <w:pStyle w:val="[Normal]"/>
                          <w:widowControl w:val="on"/>
                        </w:pPr>
                        <w:r>
                          <w:rPr>
                            <w:b w:val="on"/>
                            <w:u w:val="single"/>
                          </w:rPr>
                          <w:t xml:space="preserve">Consommation</w:t>
                        </w:r>
                        <w:r>
                          <w:rPr>
                            <w:b w:val="on"/>
                          </w:rPr>
                          <w:t xml:space="preserve">: 296 KWHep/m² an</w:t>
                        </w:r>
                      </w:p>
                      <w:p>
                        <w:pPr>
                          <w:pStyle w:val="[Normal]"/>
                          <w:widowControl w:val="on"/>
                        </w:pPr>
                        <w:r>
                          <w:t xml:space="preserve">«méthode_calcul_dpe_energie»</w:t>
                        </w:r>
                      </w:p>
                    </w:tc>
                    <w:tc>
                      <w:tcPr>
                        <w:tcW w:w="3060" w:type="dxa"/>
                        <w:shd w:val="clear" w:fill="auto"/>
                        <w:vAlign w:val="top"/>
                      </w:tcPr>
                      <w:p>
                        <w:pPr>
                          <w:pStyle w:val="[Normal]"/>
                          <w:widowControl w:val="on"/>
                        </w:pPr>
                      </w:p>
                      <w:p>
                        <w:pPr>
                          <w:pStyle w:val="[Normal]"/>
                          <w:widowControl w:val="on"/>
                          <w:jc w:val="center"/>
                          <w:rPr>
                            <w:sz w:val="18"/>
                            <w:u w:val="single"/>
                          </w:rPr>
                        </w:pPr>
                        <w:r>
                          <w:drawing>
                            <wp:inline distT="0" distB="0" distL="0" distR="0">
                              <wp:extent cx="1569720" cy="14097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569720" cy="1409700"/>
                                      </a:xfrm>
                                      <a:prstGeom prst="rect">
                                        <a:avLst/>
                                      </a:prstGeom>
                                    </pic:spPr>
                                  </pic:pic>
                                </a:graphicData>
                              </a:graphic>
                            </wp:inline>
                          </w:drawing>
                        </w:r>
                      </w:p>
                      <w:p>
                        <w:pPr>
                          <w:pStyle w:val="[Normal]"/>
                          <w:widowControl w:val="on"/>
                          <w:rPr>
                            <w:sz w:val="18"/>
                            <w:u w:val="single"/>
                          </w:rPr>
                        </w:pPr>
                      </w:p>
                      <w:p>
                        <w:pPr>
                          <w:pStyle w:val="[Normal]"/>
                          <w:widowControl w:val="on"/>
                        </w:pPr>
                        <w:r>
                          <w:rPr>
                            <w:b w:val="on"/>
                            <w:u w:val="single"/>
                          </w:rPr>
                          <w:t xml:space="preserve">Emission:</w:t>
                        </w:r>
                        <w:r>
                          <w:rPr>
                            <w:b w:val="on"/>
                          </w:rPr>
                          <w:t xml:space="preserve"> 9 Kg CO2/m² an </w:t>
                        </w:r>
                      </w:p>
                      <w:p>
                        <w:pPr>
                          <w:pStyle w:val="[Normal]"/>
                          <w:widowControl w:val="on"/>
                        </w:pPr>
                      </w:p>
                    </w:tc>
                  </w:tr>
                </w:tbl>
                <w:p/>
              </w:tc>
              <w:tc>
                <w:tcPr>
                  <w:tcW w:w="9673" w:type="dxa"/>
                  <w:shd w:val="clear" w:fill="FFFFD2"/>
                  <w:vAlign w:val="top"/>
                </w:tcPr>
                <w:p>
                  <w:pPr>
                    <w:pStyle w:val="[Normal]"/>
                    <w:widowControl w:val="on"/>
                    <w:jc w:val="center"/>
                  </w:pPr>
                  <w:r>
                    <w:drawing>
                      <wp:inline distT="0" distB="0" distL="0" distR="0">
                        <wp:extent cx="5727700" cy="401193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5727700" cy="4011930"/>
                                </a:xfrm>
                                <a:prstGeom prst="rect">
                                  <a:avLst/>
                                </a:prstGeom>
                              </pic:spPr>
                            </pic:pic>
                          </a:graphicData>
                        </a:graphic>
                      </wp:inline>
                    </w:drawing>
                  </w:r>
                </w:p>
              </w:tc>
            </w:tr>
          </w:tbl>
          <w:p/>
        </w:tc>
      </w:tr>
    </w:tbl>
    <w:p>
      <w:pPr>
        <w:pStyle w:val="[Normal]"/>
        <w:widowControl w:val="on"/>
      </w:pPr>
    </w:p>
    <w:p>
      <w:pPr>
        <w:pStyle w:val="[Normal]"/>
        <w:widowControl w:val="on"/>
        <w:rPr>
          <w:b w:val="on"/>
          <w:color w:val="0000FF"/>
          <w:sz w:val="28"/>
        </w:rPr>
      </w:pPr>
      <w:r>
        <w:rPr>
          <w:b w:val="on"/>
          <w:color w:val="0000FF"/>
          <w:sz w:val="28"/>
        </w:rPr>
        <w:t xml:space="preserve">Idéalement située entre Lot et Dordogne - Au sein d'un beau village de caractère, disposant d'un joli jardin clos de 1000 m² avec vue sur la campagne environnante, cette ancienne Chapelle a été réhabilitée en demeure de charme atypique avec extension en pierre - 140 m² habitables avec spacieuse et lumineuse pièce de vie et 4 chambres + bureau. L'agréable terrasse bien exposée vous permettra d'apprécier la douceur de vivre de ce bel endroit. Les informations sur les risques auquel ce bien est exposé sont disponibles sur le site Géorisques www.georisques.gouv.fr</w:t>
      </w:r>
    </w:p>
    <w:p>
      <w:pPr>
        <w:pStyle w:val="[Normal]"/>
        <w:widowControl w:val="on"/>
        <w:rPr>
          <w:b w:val="on"/>
          <w:color w:val="0000FF"/>
          <w:sz w:val="28"/>
        </w:rPr>
      </w:pPr>
    </w:p>
    <w:sectPr>
      <w:pgSz w:w="16837" w:h="11903" w:orient="landscape"/>
      <w:pgMar w:top="567" w:right="567" w:bottom="567" w:left="567"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