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25460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Erik Nurnberg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+4799157795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GD2033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478 400 €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17 juillet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