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taxe foncière 892 €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181 900 €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Secteur Gourdon - Agréable Contemporaine avec partie plain-pied sur 900 m² clos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20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avec placards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40 m² incluant surface 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10,6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11 m² - bureau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284,00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20/04/2023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 granulés + radiateurs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54805" cy="3086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80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A l'orée d'un village avec commerces, dans un petit quartier résidentiel calme, cette lumineuse Maison contemporaine jouit d'un agréable jardin arboré clos de 900 m² - Agencée sur 85 m² habitables en grande partie de plain-pied avec spacieuse pièce de vie, 2 chambres, mezzanine, garage.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Pièce de vie de 40 m² incluant espace cuisine - poêle granulés, dégagement de 1,5 m², chambre avec placards de 12 m², salle de bains de 5 m², wc de 1,5 m², terrasse. Etage.  Mezzanine de 11 m² - bureau, chambre de 10,6 m². RDJ. Cellier buanderie de 4,5 m², garage attenant de 20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 granulés).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1150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4419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900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2007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