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812"/>
        <w:gridCol w:w="9787"/>
      </w:tblGrid>
      <w:tr>
        <w:tc>
          <w:tcPr>
            <w:tcW w:w="5812" w:type="dxa"/>
            <w:shd w:val="clear" w:fill="auto"/>
            <w:vAlign w:val="top"/>
          </w:tcPr>
          <w:p>
            <w:pPr>
              <w:pStyle w:val="[Normal]"/>
              <w:widowControl w:val="on"/>
              <w:jc w:val="center"/>
            </w:pPr>
            <w:r>
              <w:drawing>
                <wp:inline distT="0" distB="0" distL="0" distR="0">
                  <wp:extent cx="2743200" cy="914400"/>
                  <wp:docPr id="1" name="_tx_id_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00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7" w:type="dxa"/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b w:val="on"/>
                <w:color w:val="0000FF"/>
                <w:sz w:val="26"/>
              </w:rPr>
            </w:pPr>
          </w:p>
          <w:p>
            <w:pPr>
              <w:pStyle w:val="[Normal]"/>
              <w:widowControl w:val="on"/>
              <w:jc w:val="center"/>
            </w:pPr>
            <w:r>
              <w:rPr>
                <w:b w:val="on"/>
                <w:color w:val="0000FF"/>
                <w:sz w:val="36"/>
              </w:rPr>
              <w:t xml:space="preserve">Réf.: GD2029    -    Prix: 307 400 € FAI dont 6%HA</w:t>
              <w:br w:type="textWrapping"/>
            </w:r>
            <w:r>
              <w:rPr>
                <w:b w:val="on"/>
                <w:color w:val="0000FF"/>
                <w:sz w:val="36"/>
              </w:rPr>
              <w:t xml:space="preserve">                                            </w:t>
            </w:r>
            <w:r>
              <w:rPr>
                <w:b w:val="on"/>
                <w:color w:val="0000FF"/>
                <w:sz w:val="28"/>
              </w:rPr>
              <w:t xml:space="preserve">290 000€ honoraires exclus</w:t>
            </w:r>
          </w:p>
        </w:tc>
      </w:tr>
    </w:tbl>
    <w:p>
      <w:pPr>
        <w:pStyle w:val="[Normal]"/>
        <w:widowControl w:val="on"/>
      </w:pPr>
    </w:p>
    <w:p>
      <w:pPr>
        <w:pStyle w:val="[Normal]"/>
        <w:widowControl w:val="on"/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5553"/>
      </w:tblGrid>
      <w:tr>
        <w:tc>
          <w:tcPr>
            <w:tcW w:w="15553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08"/>
              <w:gridCol w:w="9673"/>
            </w:tblGrid>
            <w:tr>
              <w:tc>
                <w:tcPr>
                  <w:tcW w:w="5808" w:type="dxa"/>
                  <w:shd w:val="clear" w:fill="FFFFD2"/>
                  <w:vAlign w:val="top"/>
                </w:tcPr>
                <w:p>
                  <w:pPr>
                    <w:pStyle w:val="[Normal]"/>
                    <w:widowControl w:val="on"/>
                    <w:jc w:val="center"/>
                  </w:pPr>
                  <w:r>
                    <w:rPr>
                      <w:b w:val="on"/>
                      <w:color w:val="FF0000"/>
                      <w:sz w:val="36"/>
                    </w:rPr>
                    <w:t xml:space="preserve">EXCLUSIVITE - Secteur Gourdon - Maison de caractère atypique avec piscine au calme sur 1ha5 </w:t>
                  </w:r>
                </w:p>
                <w:p>
                  <w:pPr>
                    <w:pStyle w:val="[Normal]"/>
                    <w:widowControl w:val="on"/>
                    <w:jc w:val="center"/>
                  </w:pPr>
                </w:p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676"/>
                    <w:gridCol w:w="3060"/>
                  </w:tblGrid>
                  <w:tr>
                    <w:tc>
                      <w:tcPr>
                        <w:tcW w:w="2676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widowControl w:val="on"/>
                        </w:pPr>
                      </w:p>
                      <w:p>
                        <w:pPr>
                          <w:pStyle w:val="[Normal]"/>
                          <w:widowControl w:val="on"/>
                          <w:jc w:val="center"/>
                          <w:rPr>
                            <w:sz w:val="18"/>
                            <w:u w:val="single"/>
                          </w:rPr>
                        </w:pPr>
                        <w:r>
                          <w:drawing>
                            <wp:inline distT="0" distB="0" distL="0" distR="0">
                              <wp:extent cx="1569720" cy="137922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9720" cy="13792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[Normal]"/>
                          <w:widowControl w:val="on"/>
                          <w:rPr>
                            <w:sz w:val="18"/>
                            <w:u w:val="single"/>
                          </w:rPr>
                        </w:pPr>
                      </w:p>
                      <w:p>
                        <w:pPr>
                          <w:pStyle w:val="[Normal]"/>
                          <w:widowControl w:val="on"/>
                        </w:pPr>
                        <w:r>
                          <w:rPr>
                            <w:b w:val="on"/>
                            <w:u w:val="single"/>
                          </w:rPr>
                          <w:t xml:space="preserve">Consommation</w:t>
                        </w:r>
                        <w:r>
                          <w:rPr>
                            <w:b w:val="on"/>
                          </w:rPr>
                          <w:t xml:space="preserve">: 335 KWHep/m² an</w:t>
                        </w:r>
                      </w:p>
                      <w:p>
                        <w:pPr>
                          <w:pStyle w:val="[Normal]"/>
                          <w:widowControl w:val="on"/>
                        </w:pPr>
                        <w:r>
                          <w:t xml:space="preserve">«méthode_calcul_dpe_energie»</w:t>
                        </w:r>
                      </w:p>
                    </w:tc>
                    <w:tc>
                      <w:tcPr>
                        <w:tcW w:w="306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widowControl w:val="on"/>
                        </w:pPr>
                      </w:p>
                      <w:p>
                        <w:pPr>
                          <w:pStyle w:val="[Normal]"/>
                          <w:widowControl w:val="on"/>
                          <w:jc w:val="center"/>
                          <w:rPr>
                            <w:sz w:val="18"/>
                            <w:u w:val="single"/>
                          </w:rPr>
                        </w:pPr>
                        <w:r>
                          <w:drawing>
                            <wp:inline distT="0" distB="0" distL="0" distR="0">
                              <wp:extent cx="1569720" cy="140970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9720" cy="1409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[Normal]"/>
                          <w:widowControl w:val="on"/>
                          <w:rPr>
                            <w:sz w:val="18"/>
                            <w:u w:val="single"/>
                          </w:rPr>
                        </w:pPr>
                      </w:p>
                      <w:p>
                        <w:pPr>
                          <w:pStyle w:val="[Normal]"/>
                          <w:widowControl w:val="on"/>
                        </w:pPr>
                        <w:r>
                          <w:rPr>
                            <w:b w:val="on"/>
                            <w:u w:val="single"/>
                          </w:rPr>
                          <w:t xml:space="preserve">Emission:</w:t>
                        </w:r>
                        <w:r>
                          <w:rPr>
                            <w:b w:val="on"/>
                          </w:rPr>
                          <w:t xml:space="preserve"> 81 Kg CO2/m² an </w:t>
                        </w:r>
                      </w:p>
                      <w:p>
                        <w:pPr>
                          <w:pStyle w:val="[Normal]"/>
                          <w:widowControl w:val="on"/>
                        </w:pPr>
                      </w:p>
                    </w:tc>
                  </w:tr>
                </w:tbl>
                <w:p/>
              </w:tc>
              <w:tc>
                <w:tcPr>
                  <w:tcW w:w="9673" w:type="dxa"/>
                  <w:shd w:val="clear" w:fill="FFFFD2"/>
                  <w:vAlign w:val="top"/>
                </w:tcPr>
                <w:p>
                  <w:pPr>
                    <w:pStyle w:val="[Normal]"/>
                    <w:widowControl w:val="on"/>
                    <w:jc w:val="center"/>
                  </w:pPr>
                  <w:r>
                    <w:drawing>
                      <wp:inline distT="0" distB="0" distL="0" distR="0">
                        <wp:extent cx="5669280" cy="318262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318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widowControl w:val="on"/>
      </w:pPr>
    </w:p>
    <w:p>
      <w:pPr>
        <w:pStyle w:val="[Normal]"/>
        <w:widowControl w:val="on"/>
      </w:pPr>
    </w:p>
    <w:p>
      <w:pPr>
        <w:pStyle w:val="[Normal]"/>
        <w:widowControl w:val="on"/>
        <w:rPr>
          <w:b w:val="on"/>
          <w:color w:val="0000FF"/>
          <w:sz w:val="28"/>
        </w:rPr>
      </w:pPr>
      <w:r>
        <w:rPr>
          <w:b w:val="on"/>
          <w:color w:val="0000FF"/>
          <w:sz w:val="28"/>
        </w:rPr>
        <w:t xml:space="preserve">Exclusivité - Secteur Gourdon - Agréable situation indépendante au calme sur 1ha52 en partie boisés pour cette belle </w:t>
      </w:r>
      <w:r>
        <w:rPr>
          <w:b w:val="on"/>
          <w:color w:val="FF0000"/>
          <w:sz w:val="36"/>
        </w:rPr>
        <w:t xml:space="preserve">Maison en pierre atypique</w:t>
      </w:r>
      <w:r>
        <w:rPr>
          <w:b w:val="on"/>
          <w:color w:val="0000FF"/>
          <w:sz w:val="28"/>
        </w:rPr>
        <w:t xml:space="preserve"> qui a conservé son caractère authentique et le charme de ses éléments anciens - 120 m² habitables dont 4 chambres et grand séjour avec cheminée. </w:t>
      </w:r>
    </w:p>
    <w:p>
      <w:pPr>
        <w:pStyle w:val="[Normal]"/>
        <w:widowControl w:val="on"/>
        <w:rPr>
          <w:b w:val="on"/>
          <w:color w:val="0000FF"/>
          <w:sz w:val="28"/>
        </w:rPr>
      </w:pPr>
    </w:p>
    <w:p>
      <w:pPr>
        <w:pStyle w:val="[Normal]"/>
        <w:widowControl w:val="on"/>
        <w:rPr>
          <w:b w:val="on"/>
          <w:color w:val="0000FF"/>
          <w:sz w:val="28"/>
        </w:rPr>
      </w:pPr>
      <w:r>
        <w:rPr>
          <w:b w:val="on"/>
          <w:color w:val="0000FF"/>
          <w:sz w:val="28"/>
        </w:rPr>
        <w:t xml:space="preserve"> </w:t>
      </w:r>
    </w:p>
    <w:p>
      <w:pPr>
        <w:pStyle w:val="[Normal]"/>
        <w:widowControl w:val="on"/>
        <w:rPr>
          <w:b w:val="on"/>
          <w:color w:val="0000FF"/>
          <w:sz w:val="28"/>
        </w:rPr>
      </w:pPr>
      <w:r>
        <w:rPr>
          <w:b w:val="on"/>
          <w:color w:val="0000FF"/>
          <w:sz w:val="28"/>
        </w:rPr>
        <w:t xml:space="preserve">Les informations sur les risques auxquels ce bien est exposé sont disponibles sur le site Géorisques: www.georisques.gouv.fr</w:t>
      </w:r>
    </w:p>
    <w:p>
      <w:pPr>
        <w:pStyle w:val="[Normal]"/>
        <w:widowControl w:val="on"/>
        <w:rPr>
          <w:b w:val="on"/>
          <w:color w:val="0000FF"/>
          <w:sz w:val="28"/>
        </w:rPr>
      </w:pPr>
    </w:p>
    <w:sectPr>
      <w:pgSz w:w="16837" w:h="11903" w:orient="landscape"/>
      <w:pgMar w:top="567" w:right="567" w:bottom="567" w:left="567" w:header="720" w:footer="72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</w:fonts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/>
    <w:rPr/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numbering" Target="numbering.xml"/>
	<Relationship Id="rId00010" Type="http://schemas.openxmlformats.org/officeDocument/2006/relationships/fontTable" Target="fontTable.xml"/>
	<Relationship Id="rId00011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