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60320" cy="143700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Michèle et Patrick LEDO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Le bourg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46350 REILHAGUET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  EXCLUSIF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GD2022, mandat : 2 073 du 16/03/2024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2 073 le 16/03/2024,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Ancienne Een pierre avec piscine sur 652 m², situé 46350 REILHAGUET, LE BOURG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189 000 €  ( cent quatre vingt neuf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5.29 % TTC soit 10 000€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20 juin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