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GD2025    -    Prix: 262 000 € FAI dont 4.8%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250 000€ honoraires exclus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Spacieuse et lumineuse Propriété de caractère sur 1270 m²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241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64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669280" cy="318262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Dans une belle campagne, avec vue dégagée sur 1270 m² de jardin fleuri, cette spacieuse et lumineuse </w:t>
      </w:r>
      <w:r>
        <w:rPr>
          <w:b w:val="on"/>
          <w:color w:val="FF0000"/>
          <w:sz w:val="36"/>
        </w:rPr>
        <w:t xml:space="preserve">Maison en pierre</w:t>
      </w:r>
      <w:r>
        <w:rPr>
          <w:b w:val="on"/>
          <w:color w:val="0000FF"/>
          <w:sz w:val="28"/>
        </w:rPr>
        <w:t xml:space="preserve"> est aménagée sur 165 m² habitables dont 3 chambres et bureau. Une grange attenante complète l'ensemble. Proche village avec commerces.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