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GD2023    -    Prix: 420 000 € FAI dont 4%HA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</w:t>
            </w:r>
            <w:r>
              <w:rPr>
                <w:b w:val="on"/>
                <w:color w:val="0000FF"/>
              </w:rPr>
              <w:t xml:space="preserve">400 000€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Spacieuse Propriété sur 3ha81 en partie boisés proche commerces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195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6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71185" cy="390906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1185" cy="390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En situation indépendante privilégiée sur 3 ha18 arborés, une allée privée amène à cette belle </w:t>
      </w:r>
      <w:r>
        <w:rPr>
          <w:b w:val="on"/>
          <w:color w:val="FF0000"/>
          <w:sz w:val="28"/>
        </w:rPr>
        <w:t xml:space="preserve">Propriété de charme</w:t>
      </w:r>
      <w:r>
        <w:rPr>
          <w:b w:val="on"/>
          <w:color w:val="0000FF"/>
          <w:sz w:val="28"/>
        </w:rPr>
        <w:t xml:space="preserve"> incluant une spacieuse et lumineuse Maison d'habitation de 215 m² dont 4 chambres et grand séjour cuisine et une grande grange/garage attenant. Proche de tous commerces.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