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1455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R.J.B.M. Sliepenbeek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Molenweg 17A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1251  LR LAREN 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GD1990, mandat : 2 040 du 29/07/2023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2 040 le 29/07/2023,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en pierre comprenant 3 maisons d'habitation et piscine  sur 7 120 m², situé 24250 BOUZIC, Plavard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540 000 €  ( CINQ CENTS QUARANTE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3.70 % TTC (TVA comprise 20 %) par mesure commerciale exceptionnelle soit 20 000€ ttc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25 janvier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