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812"/>
        <w:gridCol w:w="9787"/>
      </w:tblGrid>
      <w:tr>
        <w:tc>
          <w:tcPr>
            <w:tcW w:w="5812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drawing>
                <wp:inline distT="0" distB="0" distL="0" distR="0">
                  <wp:extent cx="2743200" cy="9144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color w:val="0000FF"/>
                <w:sz w:val="26"/>
              </w:rPr>
            </w:pPr>
          </w:p>
          <w:p>
            <w:pPr>
              <w:pStyle w:val="[Normal]"/>
              <w:jc w:val="center"/>
            </w:pPr>
            <w:r>
              <w:rPr>
                <w:b w:val="on"/>
                <w:color w:val="0000FF"/>
                <w:sz w:val="36"/>
              </w:rPr>
              <w:t xml:space="preserve">Réf.: GD1998    -    Prix: 445 000 € FAI dont 4.71%HA</w:t>
              <w:br w:type="textWrapping"/>
            </w:r>
            <w:r>
              <w:rPr>
                <w:b w:val="on"/>
                <w:color w:val="0000FF"/>
                <w:sz w:val="36"/>
              </w:rPr>
              <w:t xml:space="preserve">                                                   </w:t>
            </w:r>
            <w:r>
              <w:rPr>
                <w:b w:val="on"/>
                <w:color w:val="0000FF"/>
                <w:sz w:val="28"/>
              </w:rPr>
              <w:t xml:space="preserve">425 000€ honoraires exclus</w:t>
            </w:r>
          </w:p>
        </w:tc>
      </w:tr>
    </w:tbl>
    <w:p>
      <w:pPr>
        <w:pStyle w:val="[Normal]"/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5553"/>
      </w:tblGrid>
      <w:tr>
        <w:tc>
          <w:tcPr>
            <w:tcW w:w="15553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08"/>
              <w:gridCol w:w="9673"/>
            </w:tblGrid>
            <w:tr>
              <w:tc>
                <w:tcPr>
                  <w:tcW w:w="5808" w:type="dxa"/>
                  <w:shd w:val="clear" w:fill="FFFFD2"/>
                  <w:vAlign w:val="top"/>
                </w:tcPr>
                <w:p>
                  <w:pPr>
                    <w:pStyle w:val="[Normal]"/>
                    <w:jc w:val="center"/>
                  </w:pPr>
                  <w:r>
                    <w:rPr>
                      <w:b w:val="on"/>
                      <w:color w:val="FF0000"/>
                      <w:sz w:val="36"/>
                    </w:rPr>
                    <w:t xml:space="preserve">EXCLUSIVITE -  Secteur GOURDON - Spacieuse Maison atypique avec colombier et dépendance sur 1 ha arboré</w:t>
                  </w:r>
                </w:p>
                <w:p>
                  <w:pPr>
                    <w:pStyle w:val="[Normal]"/>
                    <w:jc w:val="center"/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none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2676"/>
                    <w:gridCol w:w="3060"/>
                  </w:tblGrid>
                  <w:tr>
                    <w:tc>
                      <w:tcPr>
                        <w:tcW w:w="2676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</w:pPr>
                      </w:p>
                      <w:p>
                        <w:pPr>
                          <w:pStyle w:val="[Normal]"/>
                          <w:jc w:val="center"/>
                          <w:rPr>
                            <w:sz w:val="18"/>
                            <w:u w:val="single"/>
                          </w:rPr>
                        </w:pPr>
                        <w:r>
                          <w:drawing>
                            <wp:inline distT="0" distB="0" distL="0" distR="0">
                              <wp:extent cx="1584960" cy="1394460"/>
                              <wp:docPr id="2" name="_tx_id_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0000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84960" cy="1394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[Normal]"/>
                          <w:rPr>
                            <w:sz w:val="18"/>
                            <w:u w:val="single"/>
                          </w:rPr>
                        </w:pPr>
                      </w:p>
                      <w:p>
                        <w:pPr>
                          <w:pStyle w:val="[Normal]"/>
                        </w:pPr>
                        <w:r>
                          <w:rPr>
                            <w:b w:val="on"/>
                            <w:u w:val="single"/>
                          </w:rPr>
                          <w:t xml:space="preserve">Consommation</w:t>
                        </w:r>
                        <w:r>
                          <w:rPr>
                            <w:b w:val="on"/>
                          </w:rPr>
                          <w:t xml:space="preserve">: 168 KWHep/m² an</w:t>
                        </w:r>
                      </w:p>
                      <w:p>
                        <w:pPr>
                          <w:pStyle w:val="[Normal]"/>
                        </w:pPr>
                        <w:r>
                          <w:t xml:space="preserve">«méthode_calcul_dpe_energie»</w:t>
                        </w:r>
                      </w:p>
                    </w:tc>
                    <w:tc>
                      <w:tcPr>
                        <w:tcW w:w="30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</w:pPr>
                      </w:p>
                      <w:p>
                        <w:pPr>
                          <w:pStyle w:val="[Normal]"/>
                          <w:jc w:val="center"/>
                          <w:rPr>
                            <w:sz w:val="18"/>
                            <w:u w:val="single"/>
                          </w:rPr>
                        </w:pPr>
                        <w:r>
                          <w:drawing>
                            <wp:inline distT="0" distB="0" distL="0" distR="0">
                              <wp:extent cx="1569720" cy="1409700"/>
                              <wp:docPr id="3" name="_tx_id_3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0000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69720" cy="14097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[Normal]"/>
                          <w:rPr>
                            <w:sz w:val="18"/>
                            <w:u w:val="single"/>
                          </w:rPr>
                        </w:pPr>
                      </w:p>
                      <w:p>
                        <w:pPr>
                          <w:pStyle w:val="[Normal]"/>
                        </w:pPr>
                        <w:r>
                          <w:rPr>
                            <w:b w:val="on"/>
                            <w:u w:val="single"/>
                          </w:rPr>
                          <w:t xml:space="preserve">Emission:</w:t>
                        </w:r>
                        <w:r>
                          <w:rPr>
                            <w:b w:val="on"/>
                          </w:rPr>
                          <w:t xml:space="preserve"> 5 Kg CO2/m² an </w:t>
                        </w:r>
                      </w:p>
                      <w:p>
                        <w:pPr>
                          <w:pStyle w:val="[Normal]"/>
                        </w:pPr>
                      </w:p>
                    </w:tc>
                  </w:tr>
                </w:tbl>
                <w:p>
                  <w:pPr>
                    <w:pStyle w:val="[Normal]"/>
                  </w:pPr>
                </w:p>
              </w:tc>
              <w:tc>
                <w:tcPr>
                  <w:tcW w:w="9673" w:type="dxa"/>
                  <w:shd w:val="clear" w:fill="FFFFD2"/>
                  <w:vAlign w:val="top"/>
                </w:tcPr>
                <w:p>
                  <w:pPr>
                    <w:pStyle w:val="[Normal]"/>
                    <w:jc w:val="center"/>
                  </w:pPr>
                  <w:r>
                    <w:drawing>
                      <wp:inline distT="0" distB="0" distL="0" distR="0">
                        <wp:extent cx="5669280" cy="318262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69280" cy="31826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</w:pPr>
          </w:p>
        </w:tc>
      </w:tr>
    </w:tbl>
    <w:p>
      <w:pPr>
        <w:pStyle w:val="[Normal]"/>
        <w:rPr>
          <w:b w:val="on"/>
          <w:color w:val="0000FF"/>
          <w:sz w:val="28"/>
        </w:rPr>
      </w:pPr>
      <w:r>
        <w:rPr>
          <w:b w:val="on"/>
          <w:color w:val="0000FF"/>
          <w:sz w:val="28"/>
        </w:rPr>
        <w:t xml:space="preserve">EXCLUSIVITE - Secteur GOURDON - Propriété de charme - En situation indépendante avec vue dégagée sur la campagne environnante, sur 1ha arboré avec piscine hors sol, une allée privée conduit à cette spacieuse et lumineuse </w:t>
      </w:r>
      <w:r>
        <w:rPr>
          <w:b w:val="on"/>
          <w:color w:val="FF0000"/>
          <w:sz w:val="32"/>
        </w:rPr>
        <w:t xml:space="preserve">Demeure atypique avec colombier</w:t>
      </w:r>
      <w:r>
        <w:rPr>
          <w:b w:val="on"/>
          <w:color w:val="0000FF"/>
          <w:sz w:val="28"/>
        </w:rPr>
        <w:t xml:space="preserve"> aménagée avec goût sur 235 m² habitables - bel espace de vie, 5 chambres et bureau. Grande Véranda. Dépendance en complément (double garage).</w:t>
      </w:r>
    </w:p>
    <w:p>
      <w:pPr>
        <w:pStyle w:val="[Normal]"/>
        <w:rPr>
          <w:b w:val="on"/>
          <w:color w:val="0000FF"/>
          <w:sz w:val="28"/>
        </w:rPr>
      </w:pPr>
      <w:r>
        <w:rPr>
          <w:b w:val="on"/>
          <w:color w:val="0000FF"/>
          <w:sz w:val="28"/>
        </w:rPr>
        <w:t xml:space="preserve">Les informations sur les risques auquel ce bien est exposé sont disponibles sur le site Géorisques www.georisques.gouv.fr</w:t>
      </w:r>
    </w:p>
    <w:p>
      <w:pPr>
        <w:pStyle w:val="[Normal]"/>
        <w:rPr>
          <w:b w:val="on"/>
          <w:color w:val="0000FF"/>
          <w:sz w:val="28"/>
        </w:rPr>
      </w:pPr>
    </w:p>
    <w:sectPr>
      <w:pgSz w:w="16837" w:h="11903" w:orient="landscape"/>
      <w:pgMar w:top="567" w:right="567" w:bottom="567" w:left="567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