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GD1998    -    Prix: 445 000 € FAI dont 4.71%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425 000€ honoraires exclus</w:t>
            </w:r>
            <w:r>
              <w:rPr>
                <w:b w:val="on"/>
                <w:color w:val="0000FF"/>
                <w:sz w:val="36"/>
              </w:rPr>
              <w:br w:type="textWrapping"/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 Secteur GOURDON - Spacieuse Maison atypique avec colombier et dépendance sur 1 ha arboré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168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5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69280" cy="318262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GOURDON - Propriété de charme - En situation indépendante avec vue dégagée sur la campagne environnante, sur 1ha arboré avec piscine hors sol, une allée privée conduit à cette spacieuse et lumineuse </w:t>
      </w:r>
      <w:r>
        <w:rPr>
          <w:b w:val="on"/>
          <w:color w:val="FF0000"/>
          <w:sz w:val="36"/>
        </w:rPr>
        <w:t xml:space="preserve">Demeure atypique avec colombier</w:t>
      </w:r>
      <w:r>
        <w:rPr>
          <w:b w:val="on"/>
          <w:color w:val="0000FF"/>
          <w:sz w:val="28"/>
        </w:rPr>
        <w:t xml:space="preserve"> aménagée avec goût sur 235 m² habitables - bel espace de vie, 5 chambres et bureau. Grande Véranda. Dépendance en complément (double garage).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