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GD1997    -    Prix: 346 500 € FAI dont 5%HA 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      </w:t>
            </w:r>
            <w:r>
              <w:rPr>
                <w:b w:val="on"/>
                <w:color w:val="0000FF"/>
              </w:rPr>
              <w:t xml:space="preserve">330 000€ net vendeur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SARLAT - Spacieuse maison de plain-pied sur 3008 m² 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132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16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SARLAT - En hauteur dans un quartier résidentiel calme, bien implantée sur un beau terrain arboré et fleuri de 3008 m², cette spacieuse </w:t>
      </w:r>
      <w:r>
        <w:rPr>
          <w:b w:val="on"/>
          <w:color w:val="FF0000"/>
          <w:sz w:val="32"/>
        </w:rPr>
        <w:t xml:space="preserve">Maison contemporaine</w:t>
      </w:r>
      <w:r>
        <w:rPr>
          <w:b w:val="on"/>
          <w:color w:val="0000FF"/>
          <w:sz w:val="28"/>
        </w:rPr>
        <w:t xml:space="preserve"> idéalement agencée de plain-pied distribue 180 m² habitables lumineux et fonctionnels dont bel espace séjour, 3 chambres et bureau, 2 agréables salons. Atelier indépendant.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