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GD1976    -    Prix: 640 000 € FAI dont 3.23%HA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620 000€ honoraires exclus</w:t>
            </w:r>
            <w:r>
              <w:rPr>
                <w:b w:val="on"/>
                <w:color w:val="0000FF"/>
                <w:sz w:val="36"/>
              </w:rPr>
              <w:br w:type="textWrapping"/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SECTEUR GOURDON- Magnifique Ensemble immobilier en pierre sur 2ha89 avec vue imprenable et espace piscine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212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6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En situation privilégiée sur 2ha89 avec très bel espace piscine, vue imprenable et grand calme caractérisent ce très bel </w:t>
      </w:r>
      <w:r>
        <w:rPr>
          <w:b w:val="on"/>
          <w:color w:val="FF0000"/>
          <w:sz w:val="32"/>
        </w:rPr>
        <w:t xml:space="preserve">Ensemble immobilier en Pierre</w:t>
      </w:r>
      <w:r>
        <w:rPr>
          <w:b w:val="on"/>
          <w:color w:val="0000FF"/>
          <w:sz w:val="28"/>
        </w:rPr>
        <w:t xml:space="preserve"> bien entretenue composée d'une spacieuse demeure principale et d'une maison d'amis - 413 m² habitables dont 5 chambres. Impressionnante terrasse couverte, Dépendances complémentaires avec grands volumes.Les informations sur les risques auquel ce bien est exposé sont disponibles sur le site Géorisques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