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96"/>
        <w:gridCol w:w="4442"/>
      </w:tblGrid>
      <w:tr>
        <w:tc>
          <w:tcPr>
            <w:tcW w:w="519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3257550" cy="10668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1080135" cy="144018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Monsieur JEAN FLORANTY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Le bourg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46310 SAINT-GERMAIN-DU-BEL-AIR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>
      <w:pPr>
        <w:pStyle w:val="Normal"/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i w:val="on"/>
          <w:color w:val="000000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Dossier : GD1961, mandat : 2 012 du 29/03/2023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Les parties ont signé le mandat de vente n° 2 012 le 29/03/2023, inscrit au registre des mandats de l'agence.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Il est convenu que le prix net vendeur du bien : </w:t>
      </w:r>
      <w:r>
        <w:rPr>
          <w:rFonts w:ascii="Times New Roman" w:hAnsi="Times New Roman" w:eastAsia="Times New Roman"/>
          <w:i w:val="on"/>
          <w:color w:val="000000"/>
        </w:rPr>
        <w:t xml:space="preserve"> Maison en pierre avec jardin sur 112 m², situé 46310 SAINT-GERMAIN-DU-BEL-AIR, Le bourg </w:t>
      </w:r>
      <w:r>
        <w:rPr>
          <w:rFonts w:ascii="Times New Roman" w:hAnsi="Times New Roman" w:eastAsia="Times New Roman"/>
          <w:color w:val="000000"/>
        </w:rPr>
        <w:t xml:space="preserve">, est à compter de ce jour de </w:t>
      </w:r>
      <w:r>
        <w:rPr>
          <w:rFonts w:ascii="Times New Roman" w:hAnsi="Times New Roman" w:eastAsia="Times New Roman"/>
          <w:b w:val="on"/>
          <w:color w:val="000000"/>
        </w:rPr>
        <w:t xml:space="preserve">90 000 €  (quatre vingt dix mille    euros).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</w:rPr>
        <w:t xml:space="preserve">En conséquence, la rémunération du mandataire est portée à  </w:t>
      </w:r>
      <w:r>
        <w:rPr>
          <w:rFonts w:ascii="Times New Roman" w:hAnsi="Times New Roman" w:eastAsia="Times New Roman"/>
          <w:b w:val="on"/>
        </w:rPr>
        <w:t xml:space="preserve">7  % TTC (TVA comprise 20 %) par mesure commerciale exceptionnelle.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Toutes les autres clauses et conditions du mandat restent inchangées.</w:t>
        <w:br w:type="textWrapping"/>
      </w:r>
      <w:r>
        <w:rPr>
          <w:rFonts w:ascii="Times New Roman" w:hAnsi="Times New Roman" w:eastAsia="Times New Roman"/>
        </w:rPr>
        <w:t xml:space="preserve">Fait en 2 exemplaires au cabinet du mandataire.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							</w:t>
      </w:r>
      <w:r>
        <w:rPr>
          <w:rFonts w:ascii="Times New Roman" w:hAnsi="Times New Roman" w:eastAsia="Times New Roman"/>
          <w:b w:val="on"/>
          <w:sz w:val="24"/>
        </w:rPr>
        <w:t xml:space="preserve">A Gourdon, le 19 juillet 2023	</w:t>
      </w:r>
      <w:r>
        <w:rPr>
          <w:rFonts w:ascii="Times New Roman" w:hAnsi="Times New Roman" w:eastAsia="Times New Roman"/>
          <w:sz w:val="24"/>
        </w:rPr>
        <w:t xml:space="preserve">   </w:t>
      </w: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18"/>
        </w:rPr>
      </w:pPr>
    </w:p>
    <w:p>
      <w:pPr>
        <w:pStyle w:val="heading 4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</w:pPr>
      <w:r>
        <w:t xml:space="preserve">       LE MANDANT			                            LE MANDATAIRE - Clarisse BOUSSAC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i w:val="on"/>
          <w:sz w:val="20"/>
        </w:rPr>
        <w:t xml:space="preserve">     ‘’ bon pour avenant au mandat’’	   	 	                   ‘’avenant au mandat accepté’’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right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28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14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rebuchet MS" w:hAnsi="Trebuchet MS" w:eastAsia="Trebuchet MS"/>
        <w:b w:val="on"/>
        <w:color w:val="000000"/>
        <w:sz w:val="14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heading 4">
    <w:name w:val="heading 4"/>
    <w:basedOn w:val="Normal"/>
    <w:next w:val="Normal"/>
    <w:qFormat/>
    <w:pPr/>
    <w:rPr>
      <w:rFonts w:ascii="Times New Roman" w:hAnsi="Times New Roman" w:eastAsia="Times New Roman"/>
      <w:b w:val="on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spacing w:after="120"/>
      <w:jc w:val="both"/>
    </w:pPr>
    <w:rPr>
      <w:rFonts w:ascii="Times New Roman" w:hAnsi="Times New Roman" w:eastAsia="Times New Roman"/>
    </w:rPr>
  </w:style>
  <w:style w:type="paragraph" w:styleId="heading 6">
    <w:name w:val="heading 6"/>
    <w:basedOn w:val="Normal"/>
    <w:next w:val="Normal"/>
    <w:qFormat/>
    <w:pPr>
      <w:jc w:val="center"/>
    </w:pPr>
    <w:rPr>
      <w:rFonts w:ascii="Times New Roman" w:hAnsi="Times New Roman" w:eastAsia="Times New Roman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